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Ristrutturazione edilizia cosiddetta "semplice" o "leggera" - SCIA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rivolti a trasformare gli organismi edilizi mediante un insieme sistematico di opere che possono portare ad un organismo edilizio in tutto o in parte diverso dal precedente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E82DAE" w:rsidRDefault="00D94B1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D94B19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L'attivita' oggetto della segnalazione puo' essere iniziata , anche nei casi di cui all'articolo 19-bis, comma L.241/1990, dalla data della presentazione della segnalazione all'amministrazione competente. Entro 60 giorni dalla presentazione, l'amministrazione puo' eseguire i controlli sui requisiti dichiarati.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82DAE" w:rsidRDefault="00D94B19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94B19" w:rsidP="00D94B1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94B19"/>
    <w:rsid w:val="00DB6460"/>
    <w:rsid w:val="00DC244A"/>
    <w:rsid w:val="00DC52FD"/>
    <w:rsid w:val="00DC6CCD"/>
    <w:rsid w:val="00DD1F68"/>
    <w:rsid w:val="00DE1D73"/>
    <w:rsid w:val="00DF33B0"/>
    <w:rsid w:val="00E12B04"/>
    <w:rsid w:val="00E31DB6"/>
    <w:rsid w:val="00E54380"/>
    <w:rsid w:val="00E609BB"/>
    <w:rsid w:val="00E612EB"/>
    <w:rsid w:val="00E61B68"/>
    <w:rsid w:val="00E82897"/>
    <w:rsid w:val="00E82DAE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2026-06-14T19:38:00Z</dcterms:modified>
</cp:coreProperties>
</file>